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CellSpacing w:w="0" w:type="dxa"/>
        <w:tblCellMar>
          <w:left w:w="0" w:type="dxa"/>
          <w:right w:w="0" w:type="dxa"/>
        </w:tblCellMar>
        <w:tblLook w:val="04A0" w:firstRow="1" w:lastRow="0" w:firstColumn="1" w:lastColumn="0" w:noHBand="0" w:noVBand="1"/>
      </w:tblPr>
      <w:tblGrid>
        <w:gridCol w:w="55"/>
        <w:gridCol w:w="9975"/>
      </w:tblGrid>
      <w:tr w:rsidR="00032244" w:rsidRPr="00C93D45" w14:paraId="151240C3" w14:textId="77777777" w:rsidTr="001B321F">
        <w:trPr>
          <w:tblCellSpacing w:w="0" w:type="dxa"/>
        </w:trPr>
        <w:tc>
          <w:tcPr>
            <w:tcW w:w="1131" w:type="pct"/>
            <w:vAlign w:val="center"/>
            <w:hideMark/>
          </w:tcPr>
          <w:p w14:paraId="563EA273" w14:textId="77777777" w:rsidR="00032244" w:rsidRPr="00C93D45" w:rsidRDefault="00032244" w:rsidP="001B321F">
            <w:pPr>
              <w:rPr>
                <w:rFonts w:eastAsia="Times New Roman" w:cstheme="minorHAnsi"/>
                <w:sz w:val="24"/>
                <w:szCs w:val="24"/>
              </w:rPr>
            </w:pPr>
            <w:r w:rsidRPr="00C93D45">
              <w:rPr>
                <w:rFonts w:eastAsia="Times New Roman" w:cstheme="minorHAnsi"/>
                <w:sz w:val="24"/>
                <w:szCs w:val="24"/>
              </w:rPr>
              <w:t> </w:t>
            </w:r>
          </w:p>
        </w:tc>
        <w:tc>
          <w:tcPr>
            <w:tcW w:w="3869" w:type="pct"/>
            <w:hideMark/>
          </w:tcPr>
          <w:tbl>
            <w:tblPr>
              <w:tblW w:w="9975" w:type="dxa"/>
              <w:tblCellSpacing w:w="0" w:type="dxa"/>
              <w:tblCellMar>
                <w:left w:w="0" w:type="dxa"/>
                <w:right w:w="0" w:type="dxa"/>
              </w:tblCellMar>
              <w:tblLook w:val="04A0" w:firstRow="1" w:lastRow="0" w:firstColumn="1" w:lastColumn="0" w:noHBand="0" w:noVBand="1"/>
            </w:tblPr>
            <w:tblGrid>
              <w:gridCol w:w="9975"/>
            </w:tblGrid>
            <w:tr w:rsidR="00032244" w:rsidRPr="00045F8F" w14:paraId="3DB5608E" w14:textId="77777777" w:rsidTr="001B321F">
              <w:trPr>
                <w:tblCellSpacing w:w="0" w:type="dxa"/>
              </w:trPr>
              <w:tc>
                <w:tcPr>
                  <w:tcW w:w="0" w:type="auto"/>
                  <w:vAlign w:val="center"/>
                  <w:hideMark/>
                </w:tcPr>
                <w:p w14:paraId="5B6E75D2" w14:textId="77777777" w:rsidR="00395CAD" w:rsidRPr="00045F8F" w:rsidRDefault="00032244" w:rsidP="001B321F">
                  <w:pPr>
                    <w:spacing w:before="150" w:after="225"/>
                    <w:rPr>
                      <w:rFonts w:eastAsia="Times New Roman" w:cstheme="minorHAnsi"/>
                      <w:b/>
                      <w:bCs/>
                      <w:sz w:val="24"/>
                      <w:szCs w:val="24"/>
                    </w:rPr>
                  </w:pPr>
                  <w:r w:rsidRPr="00045F8F">
                    <w:rPr>
                      <w:rFonts w:ascii="Arial" w:hAnsi="Arial" w:cs="Arial"/>
                      <w:noProof/>
                      <w:sz w:val="24"/>
                      <w:szCs w:val="24"/>
                    </w:rPr>
                    <w:drawing>
                      <wp:anchor distT="0" distB="0" distL="114300" distR="114300" simplePos="0" relativeHeight="251659264" behindDoc="0" locked="0" layoutInCell="1" allowOverlap="1" wp14:anchorId="7B2020DB" wp14:editId="1A996EC4">
                        <wp:simplePos x="0" y="0"/>
                        <wp:positionH relativeFrom="column">
                          <wp:posOffset>3175</wp:posOffset>
                        </wp:positionH>
                        <wp:positionV relativeFrom="paragraph">
                          <wp:posOffset>266700</wp:posOffset>
                        </wp:positionV>
                        <wp:extent cx="1285875" cy="1419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a:blip r:embed="rId7">
                                  <a:extLst>
                                    <a:ext uri="{28A0092B-C50C-407E-A947-70E740481C1C}">
                                      <a14:useLocalDpi xmlns:a14="http://schemas.microsoft.com/office/drawing/2010/main" val="0"/>
                                    </a:ext>
                                  </a:extLst>
                                </a:blip>
                                <a:stretch>
                                  <a:fillRect/>
                                </a:stretch>
                              </pic:blipFill>
                              <pic:spPr>
                                <a:xfrm>
                                  <a:off x="0" y="0"/>
                                  <a:ext cx="1285875" cy="1419225"/>
                                </a:xfrm>
                                <a:prstGeom prst="rect">
                                  <a:avLst/>
                                </a:prstGeom>
                              </pic:spPr>
                            </pic:pic>
                          </a:graphicData>
                        </a:graphic>
                      </wp:anchor>
                    </w:drawing>
                  </w:r>
                  <w:r w:rsidRPr="00045F8F">
                    <w:rPr>
                      <w:rFonts w:ascii="Arial" w:hAnsi="Arial" w:cs="Arial"/>
                      <w:noProof/>
                      <w:sz w:val="24"/>
                      <w:szCs w:val="24"/>
                    </w:rPr>
                    <w:br/>
                  </w:r>
                  <w:r w:rsidRPr="00045F8F">
                    <w:rPr>
                      <w:rFonts w:eastAsia="Times New Roman" w:cstheme="minorHAnsi"/>
                      <w:b/>
                      <w:bCs/>
                      <w:sz w:val="24"/>
                      <w:szCs w:val="24"/>
                    </w:rPr>
                    <w:br/>
                  </w:r>
                  <w:r w:rsidRPr="00045F8F">
                    <w:rPr>
                      <w:rFonts w:eastAsia="Times New Roman" w:cstheme="minorHAnsi"/>
                      <w:b/>
                      <w:bCs/>
                      <w:sz w:val="24"/>
                      <w:szCs w:val="24"/>
                    </w:rPr>
                    <w:br/>
                  </w:r>
                  <w:r w:rsidRPr="00045F8F">
                    <w:rPr>
                      <w:rFonts w:eastAsia="Times New Roman" w:cstheme="minorHAnsi"/>
                      <w:b/>
                      <w:bCs/>
                      <w:sz w:val="24"/>
                      <w:szCs w:val="24"/>
                    </w:rPr>
                    <w:br/>
                  </w:r>
                  <w:r w:rsidRPr="00045F8F">
                    <w:rPr>
                      <w:rFonts w:eastAsia="Times New Roman" w:cstheme="minorHAnsi"/>
                      <w:b/>
                      <w:bCs/>
                      <w:sz w:val="24"/>
                      <w:szCs w:val="24"/>
                    </w:rPr>
                    <w:br/>
                  </w:r>
                  <w:r w:rsidRPr="00045F8F">
                    <w:rPr>
                      <w:rFonts w:eastAsia="Times New Roman" w:cstheme="minorHAnsi"/>
                      <w:b/>
                      <w:bCs/>
                      <w:sz w:val="24"/>
                      <w:szCs w:val="24"/>
                    </w:rPr>
                    <w:br/>
                  </w:r>
                </w:p>
                <w:p w14:paraId="3BEAE73A" w14:textId="3B35778A" w:rsidR="00032244" w:rsidRPr="00045F8F" w:rsidRDefault="00395CAD" w:rsidP="001B321F">
                  <w:pPr>
                    <w:spacing w:before="150" w:after="225"/>
                    <w:rPr>
                      <w:rFonts w:eastAsia="Times New Roman" w:cstheme="minorHAnsi"/>
                      <w:b/>
                      <w:bCs/>
                      <w:sz w:val="24"/>
                      <w:szCs w:val="24"/>
                    </w:rPr>
                  </w:pPr>
                  <w:r w:rsidRPr="00045F8F">
                    <w:rPr>
                      <w:rFonts w:eastAsia="Times New Roman" w:cstheme="minorHAnsi"/>
                      <w:b/>
                      <w:bCs/>
                      <w:sz w:val="24"/>
                      <w:szCs w:val="24"/>
                    </w:rPr>
                    <w:t xml:space="preserve">BOB GRAHAM - </w:t>
                  </w:r>
                  <w:r w:rsidR="00032244" w:rsidRPr="00045F8F">
                    <w:rPr>
                      <w:rFonts w:eastAsia="Times New Roman" w:cstheme="minorHAnsi"/>
                      <w:b/>
                      <w:bCs/>
                      <w:sz w:val="24"/>
                      <w:szCs w:val="24"/>
                    </w:rPr>
                    <w:t>LIFE MEMBERSHIP OF THE NATIONAL CENTRE FOR AUSTRALIAN CHILDREN’S LITERATURE INC.AS CONFERRED BY THE BOARD</w:t>
                  </w:r>
                </w:p>
              </w:tc>
            </w:tr>
            <w:tr w:rsidR="00032244" w:rsidRPr="00045F8F" w14:paraId="02CE42FB" w14:textId="77777777" w:rsidTr="001B321F">
              <w:trPr>
                <w:tblCellSpacing w:w="0" w:type="dxa"/>
              </w:trPr>
              <w:tc>
                <w:tcPr>
                  <w:tcW w:w="0" w:type="auto"/>
                  <w:hideMark/>
                </w:tcPr>
                <w:p w14:paraId="7246022C" w14:textId="3D90C42F" w:rsidR="00032244" w:rsidRPr="00045F8F" w:rsidRDefault="00032244" w:rsidP="001B321F">
                  <w:pPr>
                    <w:spacing w:before="150" w:after="225"/>
                    <w:rPr>
                      <w:rFonts w:eastAsia="Times New Roman" w:cstheme="minorHAnsi"/>
                      <w:sz w:val="24"/>
                      <w:szCs w:val="24"/>
                    </w:rPr>
                  </w:pPr>
                  <w:r w:rsidRPr="00045F8F">
                    <w:rPr>
                      <w:rFonts w:eastAsia="Times New Roman" w:cstheme="minorHAnsi"/>
                      <w:sz w:val="24"/>
                      <w:szCs w:val="24"/>
                    </w:rPr>
                    <w:t xml:space="preserve">Life Membership conferred </w:t>
                  </w:r>
                  <w:r w:rsidR="00395CAD" w:rsidRPr="00045F8F">
                    <w:rPr>
                      <w:rFonts w:eastAsia="Times New Roman" w:cstheme="minorHAnsi"/>
                      <w:sz w:val="24"/>
                      <w:szCs w:val="24"/>
                    </w:rPr>
                    <w:t xml:space="preserve">on Bob Graham </w:t>
                  </w:r>
                  <w:r w:rsidRPr="00045F8F">
                    <w:rPr>
                      <w:rFonts w:eastAsia="Times New Roman" w:cstheme="minorHAnsi"/>
                      <w:sz w:val="24"/>
                      <w:szCs w:val="24"/>
                    </w:rPr>
                    <w:t xml:space="preserve">by the Board is the highest Award available to recognise </w:t>
                  </w:r>
                  <w:r w:rsidR="00787F9F" w:rsidRPr="00045F8F">
                    <w:rPr>
                      <w:rFonts w:eastAsia="Times New Roman" w:cstheme="minorHAnsi"/>
                      <w:sz w:val="24"/>
                      <w:szCs w:val="24"/>
                    </w:rPr>
                    <w:t xml:space="preserve">Bob’s </w:t>
                  </w:r>
                  <w:r w:rsidRPr="00045F8F">
                    <w:rPr>
                      <w:rFonts w:eastAsia="Times New Roman" w:cstheme="minorHAnsi"/>
                      <w:sz w:val="24"/>
                      <w:szCs w:val="24"/>
                    </w:rPr>
                    <w:t>exceptional contribution</w:t>
                  </w:r>
                  <w:r w:rsidR="00787F9F" w:rsidRPr="00045F8F">
                    <w:rPr>
                      <w:rFonts w:eastAsia="Times New Roman" w:cstheme="minorHAnsi"/>
                      <w:sz w:val="24"/>
                      <w:szCs w:val="24"/>
                    </w:rPr>
                    <w:t xml:space="preserve"> </w:t>
                  </w:r>
                  <w:r w:rsidRPr="00045F8F">
                    <w:rPr>
                      <w:rFonts w:eastAsia="Times New Roman" w:cstheme="minorHAnsi"/>
                      <w:sz w:val="24"/>
                      <w:szCs w:val="24"/>
                    </w:rPr>
                    <w:t xml:space="preserve">to the National Centre for Australian Children’s Literature Inc (NCACL). </w:t>
                  </w:r>
                </w:p>
              </w:tc>
            </w:tr>
            <w:tr w:rsidR="00032244" w:rsidRPr="00045F8F" w14:paraId="5ED9FC03" w14:textId="77777777" w:rsidTr="001B321F">
              <w:trPr>
                <w:tblCellSpacing w:w="0" w:type="dxa"/>
              </w:trPr>
              <w:tc>
                <w:tcPr>
                  <w:tcW w:w="0" w:type="auto"/>
                  <w:hideMark/>
                </w:tcPr>
                <w:p w14:paraId="2E194822" w14:textId="6427BBF5" w:rsidR="00032244" w:rsidRPr="00045F8F" w:rsidRDefault="00395CAD" w:rsidP="001B321F">
                  <w:pPr>
                    <w:spacing w:before="150" w:after="225"/>
                    <w:rPr>
                      <w:rFonts w:eastAsia="Times New Roman" w:cstheme="minorHAnsi"/>
                      <w:sz w:val="24"/>
                      <w:szCs w:val="24"/>
                    </w:rPr>
                  </w:pPr>
                  <w:r w:rsidRPr="00045F8F">
                    <w:rPr>
                      <w:rFonts w:eastAsia="Times New Roman" w:cstheme="minorHAnsi"/>
                      <w:sz w:val="24"/>
                      <w:szCs w:val="24"/>
                    </w:rPr>
                    <w:t xml:space="preserve">Bob </w:t>
                  </w:r>
                  <w:r w:rsidR="0063443F">
                    <w:rPr>
                      <w:rFonts w:eastAsia="Times New Roman" w:cstheme="minorHAnsi"/>
                      <w:sz w:val="24"/>
                      <w:szCs w:val="24"/>
                    </w:rPr>
                    <w:t>has demonstrated</w:t>
                  </w:r>
                  <w:r w:rsidR="00032244" w:rsidRPr="00045F8F">
                    <w:rPr>
                      <w:rFonts w:eastAsia="Times New Roman" w:cstheme="minorHAnsi"/>
                      <w:sz w:val="24"/>
                      <w:szCs w:val="24"/>
                    </w:rPr>
                    <w:t xml:space="preserve"> significant, sustained, and high-quality service enhancing the reputation and vision of the NCACL</w:t>
                  </w:r>
                  <w:r w:rsidRPr="00045F8F">
                    <w:rPr>
                      <w:rFonts w:eastAsia="Times New Roman" w:cstheme="minorHAnsi"/>
                      <w:sz w:val="24"/>
                      <w:szCs w:val="24"/>
                    </w:rPr>
                    <w:t xml:space="preserve"> through:</w:t>
                  </w:r>
                </w:p>
                <w:p w14:paraId="2E419E94" w14:textId="68AD6D49" w:rsidR="00032244" w:rsidRPr="00045F8F" w:rsidRDefault="0063443F" w:rsidP="00032244">
                  <w:pPr>
                    <w:numPr>
                      <w:ilvl w:val="0"/>
                      <w:numId w:val="1"/>
                    </w:numPr>
                    <w:spacing w:before="60" w:after="60" w:line="315" w:lineRule="atLeast"/>
                    <w:rPr>
                      <w:rFonts w:eastAsia="Times New Roman" w:cstheme="minorHAnsi"/>
                      <w:sz w:val="24"/>
                      <w:szCs w:val="24"/>
                    </w:rPr>
                  </w:pPr>
                  <w:r>
                    <w:rPr>
                      <w:rFonts w:eastAsia="Times New Roman" w:cstheme="minorHAnsi"/>
                      <w:sz w:val="24"/>
                      <w:szCs w:val="24"/>
                    </w:rPr>
                    <w:t>his</w:t>
                  </w:r>
                  <w:r w:rsidR="00395CAD" w:rsidRPr="00045F8F">
                    <w:rPr>
                      <w:rFonts w:eastAsia="Times New Roman" w:cstheme="minorHAnsi"/>
                      <w:sz w:val="24"/>
                      <w:szCs w:val="24"/>
                    </w:rPr>
                    <w:t xml:space="preserve"> close engagement with and generosity to NCACL over many </w:t>
                  </w:r>
                  <w:proofErr w:type="gramStart"/>
                  <w:r w:rsidR="00395CAD" w:rsidRPr="00045F8F">
                    <w:rPr>
                      <w:rFonts w:eastAsia="Times New Roman" w:cstheme="minorHAnsi"/>
                      <w:sz w:val="24"/>
                      <w:szCs w:val="24"/>
                    </w:rPr>
                    <w:t>decades;</w:t>
                  </w:r>
                  <w:proofErr w:type="gramEnd"/>
                </w:p>
                <w:p w14:paraId="266D5CF9" w14:textId="354EAB3E" w:rsidR="00032244" w:rsidRPr="00045F8F" w:rsidRDefault="0063443F" w:rsidP="00032244">
                  <w:pPr>
                    <w:numPr>
                      <w:ilvl w:val="0"/>
                      <w:numId w:val="1"/>
                    </w:numPr>
                    <w:spacing w:before="60" w:after="60" w:line="315" w:lineRule="atLeast"/>
                    <w:rPr>
                      <w:rFonts w:eastAsia="Times New Roman" w:cstheme="minorHAnsi"/>
                      <w:sz w:val="24"/>
                      <w:szCs w:val="24"/>
                    </w:rPr>
                  </w:pPr>
                  <w:r>
                    <w:rPr>
                      <w:rFonts w:eastAsia="Times New Roman" w:cstheme="minorHAnsi"/>
                      <w:sz w:val="24"/>
                      <w:szCs w:val="24"/>
                    </w:rPr>
                    <w:t>his</w:t>
                  </w:r>
                  <w:r w:rsidR="00395CAD" w:rsidRPr="00045F8F">
                    <w:rPr>
                      <w:rFonts w:eastAsia="Times New Roman" w:cstheme="minorHAnsi"/>
                      <w:sz w:val="24"/>
                      <w:szCs w:val="24"/>
                    </w:rPr>
                    <w:t xml:space="preserve"> </w:t>
                  </w:r>
                  <w:r w:rsidR="00045F8F" w:rsidRPr="00045F8F">
                    <w:rPr>
                      <w:rFonts w:eastAsia="Times New Roman" w:cstheme="minorHAnsi"/>
                      <w:sz w:val="24"/>
                      <w:szCs w:val="24"/>
                    </w:rPr>
                    <w:t xml:space="preserve">sustained </w:t>
                  </w:r>
                  <w:r w:rsidR="00FB210B" w:rsidRPr="00045F8F">
                    <w:rPr>
                      <w:rFonts w:eastAsia="Times New Roman" w:cstheme="minorHAnsi"/>
                      <w:sz w:val="24"/>
                      <w:szCs w:val="24"/>
                    </w:rPr>
                    <w:t>friendship</w:t>
                  </w:r>
                  <w:r w:rsidR="00395CAD" w:rsidRPr="00045F8F">
                    <w:rPr>
                      <w:rFonts w:eastAsia="Times New Roman" w:cstheme="minorHAnsi"/>
                      <w:sz w:val="24"/>
                      <w:szCs w:val="24"/>
                    </w:rPr>
                    <w:t xml:space="preserve"> </w:t>
                  </w:r>
                  <w:r w:rsidR="00032244" w:rsidRPr="00045F8F">
                    <w:rPr>
                      <w:rFonts w:eastAsia="Times New Roman" w:cstheme="minorHAnsi"/>
                      <w:sz w:val="24"/>
                      <w:szCs w:val="24"/>
                    </w:rPr>
                    <w:t>reflect</w:t>
                  </w:r>
                  <w:r w:rsidR="00395CAD" w:rsidRPr="00045F8F">
                    <w:rPr>
                      <w:rFonts w:eastAsia="Times New Roman" w:cstheme="minorHAnsi"/>
                      <w:sz w:val="24"/>
                      <w:szCs w:val="24"/>
                    </w:rPr>
                    <w:t xml:space="preserve">ing </w:t>
                  </w:r>
                  <w:r w:rsidR="00FB210B" w:rsidRPr="00045F8F">
                    <w:rPr>
                      <w:rFonts w:eastAsia="Times New Roman" w:cstheme="minorHAnsi"/>
                      <w:sz w:val="24"/>
                      <w:szCs w:val="24"/>
                    </w:rPr>
                    <w:t xml:space="preserve">a </w:t>
                  </w:r>
                  <w:r w:rsidR="00395CAD" w:rsidRPr="00045F8F">
                    <w:rPr>
                      <w:rFonts w:eastAsia="Times New Roman" w:cstheme="minorHAnsi"/>
                      <w:sz w:val="24"/>
                      <w:szCs w:val="24"/>
                    </w:rPr>
                    <w:t>passionate</w:t>
                  </w:r>
                  <w:r w:rsidR="00032244" w:rsidRPr="00045F8F">
                    <w:rPr>
                      <w:rFonts w:eastAsia="Times New Roman" w:cstheme="minorHAnsi"/>
                      <w:sz w:val="24"/>
                      <w:szCs w:val="24"/>
                    </w:rPr>
                    <w:t xml:space="preserve"> dedication to the values of the </w:t>
                  </w:r>
                  <w:proofErr w:type="gramStart"/>
                  <w:r w:rsidR="00032244" w:rsidRPr="00045F8F">
                    <w:rPr>
                      <w:rFonts w:eastAsia="Times New Roman" w:cstheme="minorHAnsi"/>
                      <w:sz w:val="24"/>
                      <w:szCs w:val="24"/>
                    </w:rPr>
                    <w:t>NCACL</w:t>
                  </w:r>
                  <w:r w:rsidR="00395CAD" w:rsidRPr="00045F8F">
                    <w:rPr>
                      <w:rFonts w:eastAsia="Times New Roman" w:cstheme="minorHAnsi"/>
                      <w:sz w:val="24"/>
                      <w:szCs w:val="24"/>
                    </w:rPr>
                    <w:t>;</w:t>
                  </w:r>
                  <w:proofErr w:type="gramEnd"/>
                </w:p>
                <w:p w14:paraId="784036D8" w14:textId="6CA8CD5A" w:rsidR="00032244" w:rsidRPr="00045F8F" w:rsidRDefault="0063443F" w:rsidP="00032244">
                  <w:pPr>
                    <w:numPr>
                      <w:ilvl w:val="0"/>
                      <w:numId w:val="1"/>
                    </w:numPr>
                    <w:spacing w:before="60" w:after="60" w:line="315" w:lineRule="atLeast"/>
                    <w:rPr>
                      <w:rFonts w:eastAsia="Times New Roman" w:cstheme="minorHAnsi"/>
                      <w:sz w:val="24"/>
                      <w:szCs w:val="24"/>
                    </w:rPr>
                  </w:pPr>
                  <w:r>
                    <w:rPr>
                      <w:rFonts w:eastAsia="Times New Roman" w:cstheme="minorHAnsi"/>
                      <w:sz w:val="24"/>
                      <w:szCs w:val="24"/>
                    </w:rPr>
                    <w:t>his</w:t>
                  </w:r>
                  <w:r w:rsidR="00FC154A" w:rsidRPr="00045F8F">
                    <w:rPr>
                      <w:rFonts w:eastAsia="Times New Roman" w:cstheme="minorHAnsi"/>
                      <w:sz w:val="24"/>
                      <w:szCs w:val="24"/>
                    </w:rPr>
                    <w:t xml:space="preserve"> exemplary advocacy </w:t>
                  </w:r>
                  <w:r w:rsidR="00FB210B" w:rsidRPr="00045F8F">
                    <w:rPr>
                      <w:rFonts w:eastAsia="Times New Roman" w:cstheme="minorHAnsi"/>
                      <w:sz w:val="24"/>
                      <w:szCs w:val="24"/>
                    </w:rPr>
                    <w:t xml:space="preserve">is reflected in his making his body of work available </w:t>
                  </w:r>
                  <w:r w:rsidR="00045F8F" w:rsidRPr="00045F8F">
                    <w:rPr>
                      <w:rFonts w:eastAsia="Times New Roman" w:cstheme="minorHAnsi"/>
                      <w:sz w:val="24"/>
                      <w:szCs w:val="24"/>
                    </w:rPr>
                    <w:t xml:space="preserve">for research </w:t>
                  </w:r>
                  <w:r w:rsidR="00FB210B" w:rsidRPr="00045F8F">
                    <w:rPr>
                      <w:rFonts w:eastAsia="Times New Roman" w:cstheme="minorHAnsi"/>
                      <w:sz w:val="24"/>
                      <w:szCs w:val="24"/>
                    </w:rPr>
                    <w:t>with</w:t>
                  </w:r>
                  <w:r w:rsidR="00032244" w:rsidRPr="00045F8F">
                    <w:rPr>
                      <w:rFonts w:eastAsia="Times New Roman" w:cstheme="minorHAnsi"/>
                      <w:sz w:val="24"/>
                      <w:szCs w:val="24"/>
                    </w:rPr>
                    <w:t xml:space="preserve"> the NCACL.</w:t>
                  </w:r>
                </w:p>
                <w:p w14:paraId="16163E5D" w14:textId="45933C2B" w:rsidR="00045F8F" w:rsidRPr="00045F8F" w:rsidRDefault="00045F8F" w:rsidP="00045F8F">
                  <w:pPr>
                    <w:spacing w:before="60" w:after="60" w:line="315" w:lineRule="atLeast"/>
                    <w:rPr>
                      <w:rFonts w:eastAsia="Times New Roman" w:cstheme="minorHAnsi"/>
                      <w:sz w:val="24"/>
                      <w:szCs w:val="24"/>
                    </w:rPr>
                  </w:pPr>
                  <w:r w:rsidRPr="00045F8F">
                    <w:rPr>
                      <w:rFonts w:eastAsia="Times New Roman"/>
                      <w:sz w:val="24"/>
                      <w:szCs w:val="24"/>
                    </w:rPr>
                    <w:br/>
                  </w:r>
                  <w:r>
                    <w:rPr>
                      <w:rFonts w:eastAsia="Times New Roman"/>
                      <w:sz w:val="24"/>
                      <w:szCs w:val="24"/>
                    </w:rPr>
                    <w:t>Today,</w:t>
                  </w:r>
                  <w:r w:rsidRPr="00045F8F">
                    <w:rPr>
                      <w:rFonts w:eastAsia="Times New Roman"/>
                      <w:sz w:val="24"/>
                      <w:szCs w:val="24"/>
                    </w:rPr>
                    <w:t xml:space="preserve"> publishers, authors and illustrators communicate electronically by email and by virtual conferencing platforms. </w:t>
                  </w:r>
                  <w:r>
                    <w:rPr>
                      <w:rFonts w:eastAsia="Times New Roman"/>
                      <w:sz w:val="24"/>
                      <w:szCs w:val="24"/>
                    </w:rPr>
                    <w:br/>
                  </w:r>
                  <w:r>
                    <w:rPr>
                      <w:rFonts w:eastAsia="Times New Roman"/>
                      <w:sz w:val="24"/>
                      <w:szCs w:val="24"/>
                    </w:rPr>
                    <w:br/>
                  </w:r>
                  <w:r w:rsidRPr="00045F8F">
                    <w:rPr>
                      <w:rFonts w:eastAsia="Times New Roman"/>
                      <w:sz w:val="24"/>
                      <w:szCs w:val="24"/>
                    </w:rPr>
                    <w:t xml:space="preserve">Capturing the creative process is difficult as authors and illustrators may not be aware of the necessity to electronically archive and share their creative processes. It is extremely difficult for the National Centre to capture their creative processes. However, more publishers, authors and illustrators are resorting to podcasts and </w:t>
                  </w:r>
                  <w:proofErr w:type="spellStart"/>
                  <w:r w:rsidRPr="00045F8F">
                    <w:rPr>
                      <w:rFonts w:eastAsia="Times New Roman"/>
                      <w:sz w:val="24"/>
                      <w:szCs w:val="24"/>
                    </w:rPr>
                    <w:t>Youtube</w:t>
                  </w:r>
                  <w:proofErr w:type="spellEnd"/>
                  <w:r w:rsidRPr="00045F8F">
                    <w:rPr>
                      <w:rFonts w:eastAsia="Times New Roman"/>
                      <w:sz w:val="24"/>
                      <w:szCs w:val="24"/>
                    </w:rPr>
                    <w:t xml:space="preserve"> presentations about their works.</w:t>
                  </w:r>
                  <w:r>
                    <w:rPr>
                      <w:rFonts w:eastAsia="Times New Roman"/>
                      <w:sz w:val="24"/>
                      <w:szCs w:val="24"/>
                    </w:rPr>
                    <w:br/>
                  </w:r>
                  <w:r>
                    <w:rPr>
                      <w:rFonts w:eastAsia="Times New Roman"/>
                      <w:sz w:val="24"/>
                      <w:szCs w:val="24"/>
                    </w:rPr>
                    <w:br/>
                    <w:t>By making his significant body of work available to researchers, Bob has ensured</w:t>
                  </w:r>
                  <w:r w:rsidR="00493C9F">
                    <w:rPr>
                      <w:rFonts w:eastAsia="Times New Roman"/>
                      <w:sz w:val="24"/>
                      <w:szCs w:val="24"/>
                    </w:rPr>
                    <w:t xml:space="preserve"> that his creative processes have been captured for future generations.</w:t>
                  </w:r>
                  <w:r w:rsidRPr="00045F8F">
                    <w:rPr>
                      <w:rFonts w:eastAsia="Times New Roman"/>
                      <w:sz w:val="24"/>
                      <w:szCs w:val="24"/>
                    </w:rPr>
                    <w:br/>
                  </w:r>
                </w:p>
                <w:p w14:paraId="50296379" w14:textId="742B8F24" w:rsidR="00032244" w:rsidRPr="00045F8F" w:rsidRDefault="00032244" w:rsidP="001B321F">
                  <w:pPr>
                    <w:spacing w:before="150" w:after="225"/>
                    <w:rPr>
                      <w:rFonts w:eastAsia="Times New Roman" w:cstheme="minorHAnsi"/>
                      <w:sz w:val="24"/>
                      <w:szCs w:val="24"/>
                    </w:rPr>
                  </w:pPr>
                </w:p>
              </w:tc>
            </w:tr>
            <w:tr w:rsidR="00032244" w:rsidRPr="00045F8F" w14:paraId="553DAB99" w14:textId="77777777" w:rsidTr="001B321F">
              <w:trPr>
                <w:tblCellSpacing w:w="0" w:type="dxa"/>
              </w:trPr>
              <w:tc>
                <w:tcPr>
                  <w:tcW w:w="0" w:type="auto"/>
                  <w:vAlign w:val="center"/>
                  <w:hideMark/>
                </w:tcPr>
                <w:p w14:paraId="6BA5DDDF" w14:textId="0A9D3CC5" w:rsidR="00032244" w:rsidRPr="00045F8F" w:rsidRDefault="00032244" w:rsidP="001B321F">
                  <w:pPr>
                    <w:spacing w:after="75"/>
                    <w:rPr>
                      <w:rFonts w:eastAsia="Times New Roman" w:cstheme="minorHAnsi"/>
                      <w:b/>
                      <w:bCs/>
                      <w:color w:val="EA8A23"/>
                      <w:sz w:val="24"/>
                      <w:szCs w:val="24"/>
                    </w:rPr>
                  </w:pPr>
                </w:p>
              </w:tc>
            </w:tr>
            <w:tr w:rsidR="00032244" w:rsidRPr="00045F8F" w14:paraId="064621B0" w14:textId="77777777" w:rsidTr="001B321F">
              <w:trPr>
                <w:tblCellSpacing w:w="0" w:type="dxa"/>
              </w:trPr>
              <w:tc>
                <w:tcPr>
                  <w:tcW w:w="0" w:type="auto"/>
                  <w:hideMark/>
                </w:tcPr>
                <w:p w14:paraId="5B55D12A" w14:textId="5C4486EC" w:rsidR="00032244" w:rsidRPr="00045F8F" w:rsidRDefault="00032244" w:rsidP="001B321F">
                  <w:pPr>
                    <w:spacing w:before="150" w:after="225"/>
                    <w:rPr>
                      <w:rFonts w:eastAsia="Times New Roman" w:cstheme="minorHAnsi"/>
                      <w:sz w:val="24"/>
                      <w:szCs w:val="24"/>
                    </w:rPr>
                  </w:pPr>
                </w:p>
              </w:tc>
            </w:tr>
          </w:tbl>
          <w:p w14:paraId="4B86FFDB" w14:textId="77777777" w:rsidR="00032244" w:rsidRPr="00045F8F" w:rsidRDefault="00032244" w:rsidP="001B321F">
            <w:pPr>
              <w:rPr>
                <w:rFonts w:eastAsia="Times New Roman" w:cstheme="minorHAnsi"/>
                <w:sz w:val="24"/>
                <w:szCs w:val="24"/>
              </w:rPr>
            </w:pPr>
          </w:p>
        </w:tc>
      </w:tr>
    </w:tbl>
    <w:p w14:paraId="784B4843" w14:textId="77777777" w:rsidR="00032244" w:rsidRDefault="00032244" w:rsidP="00032244"/>
    <w:p w14:paraId="021DEE60" w14:textId="77777777" w:rsidR="00D136F6" w:rsidRDefault="00D136F6"/>
    <w:sectPr w:rsidR="00D136F6" w:rsidSect="00EC1E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F05F" w14:textId="77777777" w:rsidR="005A3482" w:rsidRDefault="005A3482">
      <w:r>
        <w:separator/>
      </w:r>
    </w:p>
  </w:endnote>
  <w:endnote w:type="continuationSeparator" w:id="0">
    <w:p w14:paraId="01B9EF2E" w14:textId="77777777" w:rsidR="005A3482" w:rsidRDefault="005A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BD84" w14:textId="77777777" w:rsidR="004231CC" w:rsidRDefault="00423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BAD6" w14:textId="77777777" w:rsidR="004231CC" w:rsidRDefault="00000000">
    <w:pPr>
      <w:pStyle w:val="Footer"/>
    </w:pPr>
    <w:r>
      <w:t>NCACL Board</w:t>
    </w:r>
    <w:r>
      <w:ptab w:relativeTo="margin" w:alignment="center" w:leader="none"/>
    </w:r>
    <w:r>
      <w:t>NCACL Life Membership</w:t>
    </w:r>
    <w:r>
      <w:ptab w:relativeTo="margin" w:alignment="right" w:leader="none"/>
    </w:r>
    <w:r>
      <w:t>September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7F2D" w14:textId="77777777" w:rsidR="004231CC" w:rsidRDefault="00423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B9EF" w14:textId="77777777" w:rsidR="005A3482" w:rsidRDefault="005A3482">
      <w:r>
        <w:separator/>
      </w:r>
    </w:p>
  </w:footnote>
  <w:footnote w:type="continuationSeparator" w:id="0">
    <w:p w14:paraId="588E1EB9" w14:textId="77777777" w:rsidR="005A3482" w:rsidRDefault="005A3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1CC3" w14:textId="77777777" w:rsidR="004231CC" w:rsidRDefault="00423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AE31" w14:textId="77777777" w:rsidR="004231CC" w:rsidRDefault="00423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9E52" w14:textId="77777777" w:rsidR="004231CC" w:rsidRDefault="00423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01E04"/>
    <w:multiLevelType w:val="multilevel"/>
    <w:tmpl w:val="52E6A4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363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44"/>
    <w:rsid w:val="00032244"/>
    <w:rsid w:val="00045F8F"/>
    <w:rsid w:val="002778CD"/>
    <w:rsid w:val="00371DC0"/>
    <w:rsid w:val="00395CAD"/>
    <w:rsid w:val="004231CC"/>
    <w:rsid w:val="00493C9F"/>
    <w:rsid w:val="00571A16"/>
    <w:rsid w:val="005A3482"/>
    <w:rsid w:val="0063443F"/>
    <w:rsid w:val="006475A4"/>
    <w:rsid w:val="006F4B98"/>
    <w:rsid w:val="00787F9F"/>
    <w:rsid w:val="009E7E60"/>
    <w:rsid w:val="00A15F28"/>
    <w:rsid w:val="00CB11D6"/>
    <w:rsid w:val="00D136F6"/>
    <w:rsid w:val="00D40EB7"/>
    <w:rsid w:val="00D661E3"/>
    <w:rsid w:val="00EC1E4A"/>
    <w:rsid w:val="00EC2DBC"/>
    <w:rsid w:val="00F12B8F"/>
    <w:rsid w:val="00FB210B"/>
    <w:rsid w:val="00FC15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F39D"/>
  <w15:chartTrackingRefBased/>
  <w15:docId w15:val="{974A9987-37B1-49B2-A394-27F05338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44"/>
    <w:pPr>
      <w:spacing w:after="0" w:line="240" w:lineRule="auto"/>
    </w:pPr>
    <w:rPr>
      <w:rFonts w:ascii="Calibri" w:hAnsi="Calibri" w:cs="Calibri"/>
      <w:kern w:val="0"/>
      <w:lang w:eastAsia="en-AU"/>
      <w14:ligatures w14:val="none"/>
    </w:rPr>
  </w:style>
  <w:style w:type="paragraph" w:styleId="Heading1">
    <w:name w:val="heading 1"/>
    <w:basedOn w:val="Normal"/>
    <w:next w:val="Normal"/>
    <w:link w:val="Heading1Char"/>
    <w:uiPriority w:val="9"/>
    <w:qFormat/>
    <w:rsid w:val="00032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244"/>
    <w:rPr>
      <w:rFonts w:eastAsiaTheme="majorEastAsia" w:cstheme="majorBidi"/>
      <w:color w:val="272727" w:themeColor="text1" w:themeTint="D8"/>
    </w:rPr>
  </w:style>
  <w:style w:type="paragraph" w:styleId="Title">
    <w:name w:val="Title"/>
    <w:basedOn w:val="Normal"/>
    <w:next w:val="Normal"/>
    <w:link w:val="TitleChar"/>
    <w:uiPriority w:val="10"/>
    <w:qFormat/>
    <w:rsid w:val="00032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244"/>
    <w:pPr>
      <w:spacing w:before="160"/>
      <w:jc w:val="center"/>
    </w:pPr>
    <w:rPr>
      <w:i/>
      <w:iCs/>
      <w:color w:val="404040" w:themeColor="text1" w:themeTint="BF"/>
    </w:rPr>
  </w:style>
  <w:style w:type="character" w:customStyle="1" w:styleId="QuoteChar">
    <w:name w:val="Quote Char"/>
    <w:basedOn w:val="DefaultParagraphFont"/>
    <w:link w:val="Quote"/>
    <w:uiPriority w:val="29"/>
    <w:rsid w:val="00032244"/>
    <w:rPr>
      <w:i/>
      <w:iCs/>
      <w:color w:val="404040" w:themeColor="text1" w:themeTint="BF"/>
    </w:rPr>
  </w:style>
  <w:style w:type="paragraph" w:styleId="ListParagraph">
    <w:name w:val="List Paragraph"/>
    <w:basedOn w:val="Normal"/>
    <w:uiPriority w:val="34"/>
    <w:qFormat/>
    <w:rsid w:val="00032244"/>
    <w:pPr>
      <w:ind w:left="720"/>
      <w:contextualSpacing/>
    </w:pPr>
  </w:style>
  <w:style w:type="character" w:styleId="IntenseEmphasis">
    <w:name w:val="Intense Emphasis"/>
    <w:basedOn w:val="DefaultParagraphFont"/>
    <w:uiPriority w:val="21"/>
    <w:qFormat/>
    <w:rsid w:val="00032244"/>
    <w:rPr>
      <w:i/>
      <w:iCs/>
      <w:color w:val="0F4761" w:themeColor="accent1" w:themeShade="BF"/>
    </w:rPr>
  </w:style>
  <w:style w:type="paragraph" w:styleId="IntenseQuote">
    <w:name w:val="Intense Quote"/>
    <w:basedOn w:val="Normal"/>
    <w:next w:val="Normal"/>
    <w:link w:val="IntenseQuoteChar"/>
    <w:uiPriority w:val="30"/>
    <w:qFormat/>
    <w:rsid w:val="00032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244"/>
    <w:rPr>
      <w:i/>
      <w:iCs/>
      <w:color w:val="0F4761" w:themeColor="accent1" w:themeShade="BF"/>
    </w:rPr>
  </w:style>
  <w:style w:type="character" w:styleId="IntenseReference">
    <w:name w:val="Intense Reference"/>
    <w:basedOn w:val="DefaultParagraphFont"/>
    <w:uiPriority w:val="32"/>
    <w:qFormat/>
    <w:rsid w:val="00032244"/>
    <w:rPr>
      <w:b/>
      <w:bCs/>
      <w:smallCaps/>
      <w:color w:val="0F4761" w:themeColor="accent1" w:themeShade="BF"/>
      <w:spacing w:val="5"/>
    </w:rPr>
  </w:style>
  <w:style w:type="paragraph" w:styleId="Header">
    <w:name w:val="header"/>
    <w:basedOn w:val="Normal"/>
    <w:link w:val="HeaderChar"/>
    <w:uiPriority w:val="99"/>
    <w:unhideWhenUsed/>
    <w:rsid w:val="00032244"/>
    <w:pPr>
      <w:tabs>
        <w:tab w:val="center" w:pos="4513"/>
        <w:tab w:val="right" w:pos="9026"/>
      </w:tabs>
    </w:pPr>
  </w:style>
  <w:style w:type="character" w:customStyle="1" w:styleId="HeaderChar">
    <w:name w:val="Header Char"/>
    <w:basedOn w:val="DefaultParagraphFont"/>
    <w:link w:val="Header"/>
    <w:uiPriority w:val="99"/>
    <w:rsid w:val="00032244"/>
    <w:rPr>
      <w:rFonts w:ascii="Calibri" w:hAnsi="Calibri" w:cs="Calibri"/>
      <w:kern w:val="0"/>
      <w:lang w:eastAsia="en-AU"/>
      <w14:ligatures w14:val="none"/>
    </w:rPr>
  </w:style>
  <w:style w:type="paragraph" w:styleId="Footer">
    <w:name w:val="footer"/>
    <w:basedOn w:val="Normal"/>
    <w:link w:val="FooterChar"/>
    <w:uiPriority w:val="99"/>
    <w:unhideWhenUsed/>
    <w:rsid w:val="00032244"/>
    <w:pPr>
      <w:tabs>
        <w:tab w:val="center" w:pos="4513"/>
        <w:tab w:val="right" w:pos="9026"/>
      </w:tabs>
    </w:pPr>
  </w:style>
  <w:style w:type="character" w:customStyle="1" w:styleId="FooterChar">
    <w:name w:val="Footer Char"/>
    <w:basedOn w:val="DefaultParagraphFont"/>
    <w:link w:val="Footer"/>
    <w:uiPriority w:val="99"/>
    <w:rsid w:val="00032244"/>
    <w:rPr>
      <w:rFonts w:ascii="Calibri" w:hAnsi="Calibri" w:cs="Calibri"/>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1165</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Fletcher</dc:creator>
  <cp:keywords/>
  <dc:description/>
  <cp:lastModifiedBy>Lynn.Fletcher</cp:lastModifiedBy>
  <cp:revision>4</cp:revision>
  <dcterms:created xsi:type="dcterms:W3CDTF">2024-03-12T02:56:00Z</dcterms:created>
  <dcterms:modified xsi:type="dcterms:W3CDTF">2025-09-30T00:24:00Z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2025-09-30T00:24:09Z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867a0766-bed3-4722-9600-e10583780aa4</vt:lpwstr>
  </property>
  <property fmtid="{D5CDD505-2E9C-101B-9397-08002B2CF9AE}" pid="8" name="MSIP_Label_bf6fef03-d487-4433-8e43-6b81c0a1b7be_ContentBits">
    <vt:lpwstr>0</vt:lpwstr>
  </property>
  <property fmtid="{D5CDD505-2E9C-101B-9397-08002B2CF9AE}" pid="9" name="MSIP_Label_bf6fef03-d487-4433-8e43-6b81c0a1b7be_Tag">
    <vt:lpwstr>10, 3, 0, 1</vt:lpwstr>
  </property>
</Properties>
</file>